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83" w:rsidRDefault="00470083" w:rsidP="00470083">
      <w:pPr>
        <w:pStyle w:val="a6"/>
        <w:shd w:val="clear" w:color="auto" w:fill="FFFFFF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rStyle w:val="apple-converted-space"/>
          <w:b/>
          <w:bCs/>
          <w:color w:val="333333"/>
          <w:sz w:val="28"/>
          <w:szCs w:val="28"/>
        </w:rPr>
        <w:t>Отчет</w:t>
      </w:r>
    </w:p>
    <w:p w:rsidR="00470083" w:rsidRPr="00C0715D" w:rsidRDefault="00AE22BD" w:rsidP="00470083">
      <w:pPr>
        <w:pStyle w:val="a6"/>
        <w:shd w:val="clear" w:color="auto" w:fill="FFFFFF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rStyle w:val="apple-converted-space"/>
          <w:b/>
          <w:bCs/>
          <w:color w:val="333333"/>
          <w:sz w:val="28"/>
          <w:szCs w:val="28"/>
        </w:rPr>
        <w:t xml:space="preserve">о работе </w:t>
      </w:r>
      <w:r w:rsidR="00470083">
        <w:rPr>
          <w:rStyle w:val="apple-converted-space"/>
          <w:b/>
          <w:bCs/>
          <w:color w:val="333333"/>
          <w:sz w:val="28"/>
          <w:szCs w:val="28"/>
        </w:rPr>
        <w:t>отдела инвестиций и развития малого и среднего предпринимательства</w:t>
      </w:r>
      <w:r w:rsidR="00470083" w:rsidRPr="00C0715D">
        <w:rPr>
          <w:rStyle w:val="apple-converted-space"/>
          <w:b/>
          <w:bCs/>
          <w:color w:val="333333"/>
          <w:sz w:val="28"/>
          <w:szCs w:val="28"/>
        </w:rPr>
        <w:t xml:space="preserve"> администрации  МР</w:t>
      </w:r>
      <w:r w:rsidR="00470083">
        <w:rPr>
          <w:rStyle w:val="apple-converted-space"/>
          <w:b/>
          <w:bCs/>
          <w:color w:val="333333"/>
          <w:sz w:val="28"/>
          <w:szCs w:val="28"/>
        </w:rPr>
        <w:t xml:space="preserve"> «Кизилюртовский район» за 2016 </w:t>
      </w:r>
      <w:r w:rsidR="00470083" w:rsidRPr="00C0715D">
        <w:rPr>
          <w:rStyle w:val="apple-converted-space"/>
          <w:b/>
          <w:bCs/>
          <w:color w:val="333333"/>
          <w:sz w:val="28"/>
          <w:szCs w:val="28"/>
        </w:rPr>
        <w:t>год</w:t>
      </w:r>
    </w:p>
    <w:p w:rsidR="00470083" w:rsidRPr="002C014A" w:rsidRDefault="00470083" w:rsidP="00470083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96609">
        <w:rPr>
          <w:rFonts w:ascii="Times New Roman" w:hAnsi="Times New Roman" w:cs="Times New Roman"/>
          <w:sz w:val="28"/>
          <w:szCs w:val="28"/>
        </w:rPr>
        <w:t>Своей деятельности отдел</w:t>
      </w:r>
      <w:r>
        <w:rPr>
          <w:rFonts w:ascii="Times New Roman" w:hAnsi="Times New Roman" w:cs="Times New Roman"/>
          <w:sz w:val="28"/>
          <w:szCs w:val="28"/>
        </w:rPr>
        <w:t xml:space="preserve"> инвестиций и развития МСП УСХ (далее отдел)</w:t>
      </w:r>
      <w:r w:rsidRPr="00996609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«Кизилюртовский район», Положением об администрации МР «Кизилюртовский район», муниципальными нормативными правовыми актами органов местного самоуправления МР «Кизилюртовский район», действующим законодательством (по направлению своей деятельности), в том числе Федеральным законом от 24.07.2007 г. №209-ФЗ «О развитии малого и среднего предпринимательства в Российской Федерации,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16.07.2008г. №34 «О развитии малого и среднего предпринимательства в Республики Дагестан», Планами мероприятий по реализации приоритетных проектов развития Республики Дагестан «Точки роста», </w:t>
      </w:r>
      <w:r w:rsidRPr="002C014A">
        <w:rPr>
          <w:rFonts w:ascii="Times New Roman" w:eastAsia="Calibri" w:hAnsi="Times New Roman" w:cs="Times New Roman"/>
          <w:sz w:val="28"/>
          <w:szCs w:val="28"/>
          <w:lang w:eastAsia="ar-SA"/>
        </w:rPr>
        <w:t>инвестиции и эффективное территориальное развитие» и «Новая индустриализация» в МР «Кизилюртовский район».</w:t>
      </w:r>
    </w:p>
    <w:p w:rsidR="00470083" w:rsidRDefault="00470083" w:rsidP="00470083">
      <w:pPr>
        <w:ind w:firstLine="31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1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Одно из основных задач отдела является содействие развитию субъектов малого и среднего предпринимательства и осуществление инвестиционной деятельности на территории  МР «Кизилюртовский район» и в целях создания благоприятной  предпринимательской среды, привлечении инвестиций  и реализации на территории муниципального района высокоэффективных  инвестиционных проектов создана нормативно</w:t>
      </w:r>
      <w:r w:rsidRPr="002C014A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2C014A">
        <w:rPr>
          <w:rFonts w:ascii="Times New Roman" w:eastAsia="Calibri" w:hAnsi="Times New Roman" w:cs="Times New Roman"/>
          <w:sz w:val="28"/>
          <w:szCs w:val="28"/>
          <w:lang w:eastAsia="ar-SA"/>
        </w:rPr>
        <w:t>правовая база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70083" w:rsidRDefault="00470083" w:rsidP="004700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В рамках обеспечении информационной, методической,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организационной, консультативной поддержки субъектов малого и среднего предпринимательства на территории  района </w:t>
      </w:r>
      <w:r>
        <w:rPr>
          <w:rFonts w:ascii="Times New Roman" w:hAnsi="Times New Roman"/>
          <w:sz w:val="28"/>
          <w:szCs w:val="28"/>
        </w:rPr>
        <w:t xml:space="preserve">с руководителем консультационного отдела «Центра поддержки предпринимательства Республики Дагестан» </w:t>
      </w:r>
      <w:proofErr w:type="spellStart"/>
      <w:r>
        <w:rPr>
          <w:rFonts w:ascii="Times New Roman" w:hAnsi="Times New Roman"/>
          <w:sz w:val="28"/>
          <w:szCs w:val="28"/>
        </w:rPr>
        <w:t>Хавчаевым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Нурислам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Абдурагимовичом</w:t>
      </w:r>
      <w:proofErr w:type="spellEnd"/>
      <w:r>
        <w:rPr>
          <w:rFonts w:ascii="Times New Roman" w:hAnsi="Times New Roman"/>
          <w:sz w:val="28"/>
          <w:szCs w:val="28"/>
        </w:rPr>
        <w:t xml:space="preserve"> 25.11.2016 года в 10:30 в администрации МР «Кизилюртовский район» организовали встречу с предпринимателями и гражданами, желающие организовать  собственное дело по всем направлениям деятельности, в том числе по вопросам регистрации ИП, ЮЛ, налогообложения, кредитования, бизнес планирования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т.д.</w:t>
      </w:r>
    </w:p>
    <w:p w:rsidR="00470083" w:rsidRDefault="00470083" w:rsidP="004700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Граждане желающие открыт свое дело получили  от «Центра поддержки предпринимательства Республики Дагестан»  свидетельство   о прохождении </w:t>
      </w:r>
      <w:proofErr w:type="gramStart"/>
      <w:r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 «Основы предпринимательской деятельности». </w:t>
      </w:r>
    </w:p>
    <w:p w:rsidR="00470083" w:rsidRPr="002C014A" w:rsidRDefault="00470083" w:rsidP="00470083">
      <w:pPr>
        <w:ind w:firstLine="3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Из 14 пунктов </w:t>
      </w:r>
      <w:r w:rsidRPr="00950B46">
        <w:rPr>
          <w:rFonts w:ascii="Times New Roman" w:hAnsi="Times New Roman" w:cs="Times New Roman"/>
          <w:sz w:val="28"/>
          <w:szCs w:val="28"/>
        </w:rPr>
        <w:t xml:space="preserve"> 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B46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развития малого и среднего предпринимательства в  МР «Кизилюртовский район» на 2014-2016  годы   реализовано</w:t>
      </w:r>
      <w:r>
        <w:rPr>
          <w:rFonts w:ascii="Times New Roman" w:hAnsi="Times New Roman" w:cs="Times New Roman"/>
          <w:sz w:val="28"/>
          <w:szCs w:val="28"/>
        </w:rPr>
        <w:t xml:space="preserve"> 2 пункта</w:t>
      </w:r>
      <w:r w:rsidRPr="00950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0B46">
        <w:rPr>
          <w:rFonts w:ascii="Times New Roman" w:hAnsi="Times New Roman" w:cs="Times New Roman"/>
          <w:sz w:val="28"/>
          <w:szCs w:val="28"/>
        </w:rPr>
        <w:t>далее муниципальная Программа)   :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0B46">
        <w:rPr>
          <w:rFonts w:ascii="Times New Roman" w:hAnsi="Times New Roman" w:cs="Times New Roman"/>
          <w:sz w:val="28"/>
          <w:szCs w:val="28"/>
        </w:rPr>
        <w:t>п. 3 – популяризация и пропаганда идей малого и среднего предпринимательства, формирование среди населения положительного имиджа предпринимательства, проведения конкурса; «</w:t>
      </w:r>
      <w:r>
        <w:rPr>
          <w:rFonts w:ascii="Times New Roman" w:hAnsi="Times New Roman" w:cs="Times New Roman"/>
          <w:sz w:val="28"/>
          <w:szCs w:val="28"/>
        </w:rPr>
        <w:t>Лучший предприниматель района»</w:t>
      </w:r>
      <w:r w:rsidRPr="00950B46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50B46">
        <w:rPr>
          <w:rFonts w:ascii="Times New Roman" w:hAnsi="Times New Roman" w:cs="Times New Roman"/>
          <w:sz w:val="28"/>
          <w:szCs w:val="28"/>
        </w:rPr>
        <w:t>п. 11 -  представление грантов создаваемым или начинающим и действующим менее 1 года субъектам малого и среднего предпринимательства из числа молодёжи от 14 до 30 лет, безработных граждан, выпускников учебных заведений, военнослужащих, уволенных в запас и гражданам, испытывающих трудности в поисках работы.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  Остальные 12 пунктов основных мероприятий муниципальной Программы не реализовано  в связи отсутствием финансов.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      Задачи целевой  Программы развития малого и среднего предпринимательства  в МР «Кизилюртовский район» за 2016 год: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стимулирование и поддержка инвестиционных проектов субъектов малого и среднего предпринимательства;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 укрепление социального статуса предпринимательства;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 организации  их промышленного производства и практического использования;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  поддержка субъектов малого и среднего предпринимательства – производство товаров (работ и услуг);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 стимулирование продвижения продукции предприятий малого и среднего предпринимательства на региональные  и международные рынки;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информирование населения о мерах по поддержке предпринимательской деятельности и условиях ее предоставления;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проведения мероприятий по повышению правового уровня субъектов малого и среднего предпринимательства;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>- поддержка начинающих, в том числе молодых предпринимателей и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- имущественная поддержка предпринимателей. 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А так же целевые индикаторы и показатели Программы выполнены.</w:t>
      </w:r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2016 году  из 20 претендентов, прошедшие конкурс по отбору на получение грантов создаваемым  или начинающим  и действующим менее 1  года субъектам малого и среднего предпринимательства  из числа  от 14 до 30 лет, безработных граждан, выпускников учебных заведений, и граждан испытывающих трудности  в поисках работы  15 претендентам оказано </w:t>
      </w:r>
      <w:r w:rsidRPr="00775FB2">
        <w:rPr>
          <w:rFonts w:ascii="Times New Roman" w:hAnsi="Times New Roman" w:cs="Times New Roman"/>
          <w:b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в виде грантов: </w:t>
      </w:r>
      <w:proofErr w:type="gramEnd"/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083" w:rsidRDefault="00470083" w:rsidP="00470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083" w:rsidRDefault="00470083" w:rsidP="00470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083" w:rsidRPr="0068309C" w:rsidRDefault="00470083" w:rsidP="0047008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42" w:type="dxa"/>
        <w:tblInd w:w="108" w:type="dxa"/>
        <w:tblLook w:val="04A0"/>
      </w:tblPr>
      <w:tblGrid>
        <w:gridCol w:w="3051"/>
        <w:gridCol w:w="2254"/>
        <w:gridCol w:w="2254"/>
        <w:gridCol w:w="2583"/>
      </w:tblGrid>
      <w:tr w:rsidR="00470083" w:rsidRPr="001C2A54" w:rsidTr="0029010D">
        <w:trPr>
          <w:trHeight w:val="487"/>
        </w:trPr>
        <w:tc>
          <w:tcPr>
            <w:tcW w:w="3051" w:type="dxa"/>
          </w:tcPr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Субъекты малого и среднего  предпринимательства</w:t>
            </w:r>
          </w:p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4">
              <w:rPr>
                <w:rFonts w:ascii="Times New Roman" w:hAnsi="Times New Roman" w:cs="Times New Roman"/>
                <w:b/>
                <w:sz w:val="28"/>
                <w:szCs w:val="28"/>
              </w:rPr>
              <w:t>2015г.</w:t>
            </w:r>
          </w:p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2254" w:type="dxa"/>
          </w:tcPr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1C2A5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2583" w:type="dxa"/>
          </w:tcPr>
          <w:p w:rsidR="00470083" w:rsidRPr="001C2A54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5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70083" w:rsidRPr="008306C6" w:rsidTr="0029010D">
        <w:tc>
          <w:tcPr>
            <w:tcW w:w="3051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Райбюджет</w:t>
            </w:r>
            <w:proofErr w:type="spellEnd"/>
          </w:p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(гранты)</w:t>
            </w:r>
          </w:p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470083" w:rsidRPr="008306C6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254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583" w:type="dxa"/>
          </w:tcPr>
          <w:p w:rsidR="00470083" w:rsidRPr="008306C6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470083" w:rsidTr="0029010D">
        <w:tc>
          <w:tcPr>
            <w:tcW w:w="3051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</w:p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(гранты)</w:t>
            </w:r>
          </w:p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2583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083" w:rsidRPr="00E44FA3" w:rsidTr="0029010D">
        <w:tc>
          <w:tcPr>
            <w:tcW w:w="3051" w:type="dxa"/>
          </w:tcPr>
          <w:p w:rsidR="00470083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470083" w:rsidRPr="00E44FA3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470083" w:rsidRPr="00E44FA3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A3">
              <w:rPr>
                <w:rFonts w:ascii="Times New Roman" w:hAnsi="Times New Roman" w:cs="Times New Roman"/>
                <w:b/>
                <w:sz w:val="28"/>
                <w:szCs w:val="28"/>
              </w:rPr>
              <w:t>2200</w:t>
            </w:r>
          </w:p>
        </w:tc>
        <w:tc>
          <w:tcPr>
            <w:tcW w:w="2254" w:type="dxa"/>
          </w:tcPr>
          <w:p w:rsidR="00470083" w:rsidRPr="00E44FA3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A3">
              <w:rPr>
                <w:rFonts w:ascii="Times New Roman" w:hAnsi="Times New Roman" w:cs="Times New Roman"/>
                <w:b/>
                <w:sz w:val="28"/>
                <w:szCs w:val="28"/>
              </w:rPr>
              <w:t>3250</w:t>
            </w:r>
          </w:p>
        </w:tc>
        <w:tc>
          <w:tcPr>
            <w:tcW w:w="2583" w:type="dxa"/>
          </w:tcPr>
          <w:p w:rsidR="00470083" w:rsidRPr="00E44FA3" w:rsidRDefault="00470083" w:rsidP="00290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A3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</w:tbl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  Субъекты малого и среднего предпринимательства, осуществляющие свою деятельность </w:t>
      </w:r>
      <w:r>
        <w:rPr>
          <w:rFonts w:ascii="Times New Roman" w:hAnsi="Times New Roman" w:cs="Times New Roman"/>
          <w:sz w:val="28"/>
          <w:szCs w:val="28"/>
        </w:rPr>
        <w:t>на территории  района</w:t>
      </w:r>
      <w:r w:rsidRPr="00950B46">
        <w:rPr>
          <w:rFonts w:ascii="Times New Roman" w:hAnsi="Times New Roman" w:cs="Times New Roman"/>
          <w:sz w:val="28"/>
          <w:szCs w:val="28"/>
        </w:rPr>
        <w:t xml:space="preserve"> за 2016 г. составляет 1231 ед.  против 1211ед. за 2015 г. (</w:t>
      </w:r>
      <w:r w:rsidRPr="00950B46">
        <w:rPr>
          <w:rFonts w:ascii="Times New Roman" w:hAnsi="Times New Roman" w:cs="Times New Roman"/>
          <w:b/>
          <w:sz w:val="28"/>
          <w:szCs w:val="28"/>
        </w:rPr>
        <w:t>Приложение№1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50B46">
        <w:rPr>
          <w:rFonts w:ascii="Times New Roman" w:hAnsi="Times New Roman" w:cs="Times New Roman"/>
          <w:sz w:val="28"/>
          <w:szCs w:val="28"/>
        </w:rPr>
        <w:t xml:space="preserve">Объемы и динамика поступлений, налоговые отчисления от деятельности субъектов МСП, осуществляющие свою деятельность на территории МР «Кизилюртовский район» за 2016 </w:t>
      </w:r>
      <w:r>
        <w:rPr>
          <w:rFonts w:ascii="Times New Roman" w:hAnsi="Times New Roman" w:cs="Times New Roman"/>
          <w:sz w:val="28"/>
          <w:szCs w:val="28"/>
        </w:rPr>
        <w:t>г. составляют</w:t>
      </w:r>
      <w:r w:rsidRPr="00950B46">
        <w:rPr>
          <w:rFonts w:ascii="Times New Roman" w:hAnsi="Times New Roman" w:cs="Times New Roman"/>
          <w:sz w:val="28"/>
          <w:szCs w:val="28"/>
        </w:rPr>
        <w:t xml:space="preserve"> 36048 тыс. руб. против 42160 тыс. руб. за 2015г. исп. 85,5 % .Уменьшение поступление налогов на 14,5 %  объясняется в связи с переходом действующих малых предприятий на другой режим </w:t>
      </w:r>
      <w:r>
        <w:rPr>
          <w:rFonts w:ascii="Times New Roman" w:hAnsi="Times New Roman" w:cs="Times New Roman"/>
          <w:sz w:val="28"/>
          <w:szCs w:val="28"/>
        </w:rPr>
        <w:t>налогообложении</w:t>
      </w:r>
      <w:r w:rsidRPr="00950B46">
        <w:rPr>
          <w:rFonts w:ascii="Times New Roman" w:hAnsi="Times New Roman" w:cs="Times New Roman"/>
          <w:sz w:val="28"/>
          <w:szCs w:val="28"/>
        </w:rPr>
        <w:t xml:space="preserve"> и закрытии организаций (</w:t>
      </w:r>
      <w:r w:rsidRPr="00950B46">
        <w:rPr>
          <w:rFonts w:ascii="Times New Roman" w:hAnsi="Times New Roman" w:cs="Times New Roman"/>
          <w:b/>
          <w:sz w:val="28"/>
          <w:szCs w:val="28"/>
        </w:rPr>
        <w:t>Приложение№2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5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0B46">
        <w:rPr>
          <w:rFonts w:ascii="Times New Roman" w:hAnsi="Times New Roman" w:cs="Times New Roman"/>
          <w:sz w:val="28"/>
          <w:szCs w:val="28"/>
        </w:rPr>
        <w:t xml:space="preserve"> Инвестиции  </w:t>
      </w:r>
      <w:r>
        <w:rPr>
          <w:rFonts w:ascii="Times New Roman" w:hAnsi="Times New Roman" w:cs="Times New Roman"/>
          <w:sz w:val="28"/>
          <w:szCs w:val="28"/>
        </w:rPr>
        <w:t xml:space="preserve">СМСП и ИЖС </w:t>
      </w:r>
      <w:r w:rsidRPr="00950B46">
        <w:rPr>
          <w:rFonts w:ascii="Times New Roman" w:hAnsi="Times New Roman" w:cs="Times New Roman"/>
          <w:sz w:val="28"/>
          <w:szCs w:val="28"/>
        </w:rPr>
        <w:t>в основной капитал в МР «Кизилюртовский район» за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46">
        <w:rPr>
          <w:rFonts w:ascii="Times New Roman" w:hAnsi="Times New Roman" w:cs="Times New Roman"/>
          <w:sz w:val="28"/>
          <w:szCs w:val="28"/>
        </w:rPr>
        <w:t>составляет -1207153 тыс. руб. против 1136098 тыс. руб. за 2015г</w:t>
      </w:r>
      <w:r>
        <w:rPr>
          <w:rFonts w:ascii="Times New Roman" w:hAnsi="Times New Roman" w:cs="Times New Roman"/>
          <w:sz w:val="28"/>
          <w:szCs w:val="28"/>
        </w:rPr>
        <w:t>од  (или</w:t>
      </w:r>
      <w:r w:rsidRPr="00950B46">
        <w:rPr>
          <w:rFonts w:ascii="Times New Roman" w:hAnsi="Times New Roman" w:cs="Times New Roman"/>
          <w:sz w:val="28"/>
          <w:szCs w:val="28"/>
        </w:rPr>
        <w:t xml:space="preserve"> 106 %.</w:t>
      </w:r>
      <w:r>
        <w:rPr>
          <w:rFonts w:ascii="Times New Roman" w:hAnsi="Times New Roman" w:cs="Times New Roman"/>
          <w:sz w:val="28"/>
          <w:szCs w:val="28"/>
        </w:rPr>
        <w:t xml:space="preserve"> исп.)</w:t>
      </w:r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</w:t>
      </w:r>
      <w:r w:rsidRPr="00950B46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B46">
        <w:rPr>
          <w:rFonts w:ascii="Times New Roman" w:hAnsi="Times New Roman" w:cs="Times New Roman"/>
          <w:sz w:val="28"/>
          <w:szCs w:val="28"/>
        </w:rPr>
        <w:t xml:space="preserve">  инвестиций </w:t>
      </w:r>
      <w:r>
        <w:rPr>
          <w:rFonts w:ascii="Times New Roman" w:hAnsi="Times New Roman" w:cs="Times New Roman"/>
          <w:sz w:val="28"/>
          <w:szCs w:val="28"/>
        </w:rPr>
        <w:t xml:space="preserve">в основной капитал </w:t>
      </w:r>
      <w:r w:rsidRPr="00950B46">
        <w:rPr>
          <w:rFonts w:ascii="Times New Roman" w:hAnsi="Times New Roman" w:cs="Times New Roman"/>
          <w:sz w:val="28"/>
          <w:szCs w:val="28"/>
        </w:rPr>
        <w:t>за счет всех источн</w:t>
      </w:r>
      <w:r>
        <w:rPr>
          <w:rFonts w:ascii="Times New Roman" w:hAnsi="Times New Roman" w:cs="Times New Roman"/>
          <w:sz w:val="28"/>
          <w:szCs w:val="28"/>
        </w:rPr>
        <w:t>иков в районе</w:t>
      </w:r>
      <w:r w:rsidRPr="0095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0B46">
        <w:rPr>
          <w:rFonts w:ascii="Times New Roman" w:hAnsi="Times New Roman" w:cs="Times New Roman"/>
          <w:sz w:val="28"/>
          <w:szCs w:val="28"/>
        </w:rPr>
        <w:t>4216782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составляет 4343285,5 тыс. руб. (или 103% исп.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перечня земельных участков, включаемых в границы инвестиционной площадки на территории район, утвержденного  постановлением администрации МР «Кизилюртовский район» от 28.09.2015г. №115 «Об утверждении перечня земельных участков, включаемых в границы инвестиционной площадки на территории МР «Кизилюртовский район» реализовано  15 инвестиционных площадок за 2016 год: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67"/>
        <w:gridCol w:w="3120"/>
        <w:gridCol w:w="2551"/>
        <w:gridCol w:w="1276"/>
        <w:gridCol w:w="2977"/>
      </w:tblGrid>
      <w:tr w:rsidR="00470083" w:rsidRPr="005A2987" w:rsidTr="0029010D">
        <w:trPr>
          <w:trHeight w:val="1802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>№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A29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A29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A29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инвестиционной площадки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>и краткое описание предполагаемого объекта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 xml:space="preserve">Месторасположения </w:t>
            </w:r>
            <w:r>
              <w:rPr>
                <w:rFonts w:ascii="Times New Roman" w:hAnsi="Times New Roman" w:cs="Times New Roman"/>
                <w:b/>
              </w:rPr>
              <w:t>площад</w:t>
            </w:r>
            <w:r w:rsidRPr="005A2987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>Декларированная площадь,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A2987">
              <w:rPr>
                <w:rFonts w:ascii="Times New Roman" w:hAnsi="Times New Roman" w:cs="Times New Roman"/>
                <w:b/>
              </w:rPr>
              <w:t>га</w:t>
            </w:r>
            <w:proofErr w:type="gramEnd"/>
            <w:r w:rsidRPr="005A298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A2987">
              <w:rPr>
                <w:rFonts w:ascii="Times New Roman" w:hAnsi="Times New Roman" w:cs="Times New Roman"/>
                <w:b/>
              </w:rPr>
              <w:t>Форма собственности (государственная</w:t>
            </w:r>
            <w:proofErr w:type="gramEnd"/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87">
              <w:rPr>
                <w:rFonts w:ascii="Times New Roman" w:hAnsi="Times New Roman" w:cs="Times New Roman"/>
                <w:b/>
              </w:rPr>
              <w:t>муниципальная, частная)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083" w:rsidRPr="005A2987" w:rsidTr="0029010D">
        <w:trPr>
          <w:trHeight w:val="1470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0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«</w:t>
            </w:r>
            <w:proofErr w:type="spellStart"/>
            <w:r w:rsidRPr="005A2987">
              <w:rPr>
                <w:rFonts w:ascii="Times New Roman" w:hAnsi="Times New Roman" w:cs="Times New Roman"/>
              </w:rPr>
              <w:t>Пераус</w:t>
            </w:r>
            <w:proofErr w:type="spellEnd"/>
            <w:r>
              <w:rPr>
                <w:rFonts w:ascii="Times New Roman" w:hAnsi="Times New Roman" w:cs="Times New Roman"/>
              </w:rPr>
              <w:t>»- добыча кварцевого песка;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5A2987">
              <w:rPr>
                <w:rFonts w:ascii="Times New Roman" w:hAnsi="Times New Roman" w:cs="Times New Roman"/>
              </w:rPr>
              <w:t>Гельбах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9,4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Лесного хозяйства РД</w:t>
            </w:r>
          </w:p>
          <w:p w:rsidR="00470083" w:rsidRPr="005A2987" w:rsidRDefault="00470083" w:rsidP="0029010D">
            <w:pPr>
              <w:rPr>
                <w:rFonts w:ascii="Times New Roman" w:hAnsi="Times New Roman" w:cs="Times New Roman"/>
              </w:rPr>
            </w:pPr>
          </w:p>
        </w:tc>
      </w:tr>
      <w:tr w:rsidR="00470083" w:rsidTr="0029010D">
        <w:trPr>
          <w:trHeight w:val="1298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</w:tcPr>
          <w:p w:rsidR="00470083" w:rsidRDefault="00470083" w:rsidP="00290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футбольное поле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«сельсовет </w:t>
            </w:r>
            <w:proofErr w:type="spellStart"/>
            <w:r>
              <w:rPr>
                <w:rFonts w:ascii="Times New Roman" w:hAnsi="Times New Roman" w:cs="Times New Roman"/>
              </w:rPr>
              <w:t>Зубутли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Миатли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083" w:rsidRPr="005A2987" w:rsidTr="0029010D">
        <w:trPr>
          <w:trHeight w:val="951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4B1C7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Соколен</w:t>
            </w:r>
            <w:r w:rsidRPr="004B1C73">
              <w:rPr>
                <w:rFonts w:ascii="Times New Roman" w:hAnsi="Times New Roman" w:cs="Times New Roman"/>
              </w:rPr>
              <w:t>ок»</w:t>
            </w:r>
          </w:p>
          <w:p w:rsidR="00470083" w:rsidRPr="004B1C7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>- оздоровительный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</w:rPr>
              <w:t>Кироваул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083" w:rsidRPr="005A2987" w:rsidTr="0029010D">
        <w:trPr>
          <w:trHeight w:val="70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 xml:space="preserve"> «Дружба»</w:t>
            </w: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Оптово-розничный сельскохозяйственный рынок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 xml:space="preserve">«Сел </w:t>
            </w:r>
            <w:proofErr w:type="spellStart"/>
            <w:r w:rsidRPr="005A2987">
              <w:rPr>
                <w:rFonts w:ascii="Times New Roman" w:hAnsi="Times New Roman" w:cs="Times New Roman"/>
              </w:rPr>
              <w:t>НижнийЧирюрт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175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«Чиркей»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Рыбно - прудовое хозяйство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«Сел Ново Чиркей»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2,5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751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«Южанка»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мусорный полигон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 xml:space="preserve">«Сельсовет </w:t>
            </w:r>
            <w:proofErr w:type="spellStart"/>
            <w:r w:rsidRPr="005A2987">
              <w:rPr>
                <w:rFonts w:ascii="Times New Roman" w:hAnsi="Times New Roman" w:cs="Times New Roman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751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садик «Сказка»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 xml:space="preserve">«Сельсовет </w:t>
            </w:r>
            <w:proofErr w:type="spellStart"/>
            <w:r w:rsidRPr="005A2987">
              <w:rPr>
                <w:rFonts w:ascii="Times New Roman" w:hAnsi="Times New Roman" w:cs="Times New Roman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751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«Хизгин-2» Мусорный полигон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</w:rPr>
              <w:t>Мииатли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215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«Чиркей»  детский садик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«село Новый Чиркей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«Чиркей-1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Рыбно-прудовое хозяйство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«село Новый Чиркей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«Чиркей-3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Тепличный комплекс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«село Новый Чиркей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Ватан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по переработке молока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 xml:space="preserve">«Сел </w:t>
            </w:r>
            <w:proofErr w:type="spellStart"/>
            <w:r w:rsidRPr="005A2987">
              <w:rPr>
                <w:rFonts w:ascii="Times New Roman" w:hAnsi="Times New Roman" w:cs="Times New Roman"/>
              </w:rPr>
              <w:t>НижнийЧирюрт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2,5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«МФЦ»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пруда для разведения рыб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</w:rPr>
              <w:t>Акнада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</w:t>
            </w: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пруда для разведения рыб</w:t>
            </w:r>
          </w:p>
        </w:tc>
        <w:tc>
          <w:tcPr>
            <w:tcW w:w="2551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 w:rsidRPr="005A2987">
              <w:rPr>
                <w:rFonts w:ascii="Times New Roman" w:hAnsi="Times New Roman" w:cs="Times New Roman"/>
              </w:rPr>
              <w:t>м.о. с.п.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</w:rPr>
              <w:t>Гельбах</w:t>
            </w:r>
            <w:proofErr w:type="spellEnd"/>
            <w:r w:rsidRPr="005A2987">
              <w:rPr>
                <w:rFonts w:ascii="Times New Roman" w:hAnsi="Times New Roman" w:cs="Times New Roman"/>
              </w:rPr>
              <w:t>»</w:t>
            </w: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</w:t>
            </w:r>
          </w:p>
        </w:tc>
      </w:tr>
      <w:tr w:rsidR="00470083" w:rsidRPr="005A2987" w:rsidTr="0029010D">
        <w:trPr>
          <w:trHeight w:val="1119"/>
        </w:trPr>
        <w:tc>
          <w:tcPr>
            <w:tcW w:w="56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15-мо.сп.</w:t>
            </w:r>
          </w:p>
        </w:tc>
        <w:tc>
          <w:tcPr>
            <w:tcW w:w="1276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470083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</w:p>
          <w:p w:rsidR="00470083" w:rsidRPr="005A2987" w:rsidRDefault="00470083" w:rsidP="0029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реализовано 9 инвестиционных проектов на территории МР «Кизилюртовский район».</w:t>
      </w:r>
    </w:p>
    <w:p w:rsidR="00470083" w:rsidRPr="00950B46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50B46">
        <w:rPr>
          <w:rFonts w:ascii="Times New Roman" w:hAnsi="Times New Roman" w:cs="Times New Roman"/>
          <w:sz w:val="28"/>
          <w:szCs w:val="28"/>
        </w:rPr>
        <w:t>В соответствии Порядка проведения оценки регулирующего воздействия проектов муниципальных нормативных правовых актов в МР «Кизилюртовский район», затрагивающих вопросы осуществления предпринимательской деятельности, утвержденного постановлением администрации МР «Кизилюртовский район» от 26.06.2015г. №79  приняли участие в проведения оценки регулирующего воздействия проектов муниципальных нормативных правовых актов в МР «Кизилюртовский район», затрагивающих вопросы осуществления предпринимательской и инвестиционной деятельности.</w:t>
      </w:r>
      <w:proofErr w:type="gramEnd"/>
    </w:p>
    <w:p w:rsidR="00470083" w:rsidRDefault="00470083" w:rsidP="00470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B4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50B46">
        <w:rPr>
          <w:rFonts w:ascii="Times New Roman" w:hAnsi="Times New Roman" w:cs="Times New Roman"/>
          <w:sz w:val="28"/>
          <w:szCs w:val="28"/>
        </w:rPr>
        <w:t xml:space="preserve">Отделом инвестиций и развития МСП УСХ  разработан и представлен  в отдел ОЭ и прогнозирование План проведения экспертизы муниципальных нормативных правовых актов администрации МР «Кизилюртовский район»  а так же представлено информацию об анализе выявленных  ряд отрицательных последствий в нормативно правовом акте МР «Кизилюртовский район» от 08.06.2016г. №64 «Об утверждения  Порядка представления грантов, создаваемым или начинающим и действующим </w:t>
      </w:r>
      <w:r w:rsidRPr="00950B46">
        <w:rPr>
          <w:rFonts w:ascii="Times New Roman" w:hAnsi="Times New Roman" w:cs="Times New Roman"/>
          <w:sz w:val="28"/>
          <w:szCs w:val="28"/>
        </w:rPr>
        <w:lastRenderedPageBreak/>
        <w:t>менее одного года</w:t>
      </w:r>
      <w:proofErr w:type="gramEnd"/>
      <w:r w:rsidRPr="00950B4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предпринимательства» </w:t>
      </w:r>
      <w:proofErr w:type="gramStart"/>
      <w:r w:rsidRPr="00950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0B46">
        <w:rPr>
          <w:rFonts w:ascii="Times New Roman" w:hAnsi="Times New Roman" w:cs="Times New Roman"/>
          <w:b/>
          <w:sz w:val="28"/>
          <w:szCs w:val="28"/>
        </w:rPr>
        <w:t>Приложение№3</w:t>
      </w:r>
      <w:r w:rsidRPr="00950B46">
        <w:rPr>
          <w:rFonts w:ascii="Times New Roman" w:hAnsi="Times New Roman" w:cs="Times New Roman"/>
          <w:sz w:val="28"/>
          <w:szCs w:val="28"/>
        </w:rPr>
        <w:t>).</w:t>
      </w:r>
    </w:p>
    <w:p w:rsidR="00470083" w:rsidRDefault="00470083" w:rsidP="00470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Правительства РД  от 22 апреля  2016г. № 164-рг «Плана мероприятий («дорожной карты») направленных на снижение неформальной занятости и повышение объема поступлений страховых взносов в государственные внебюджетные фонды  в РД на 2016 год», распоряжением администрации МР «Кизилюртовский район» от 20 июля 2016г. №10-РГ образованно рабочая группа в состав, которого входят   представители ГУ-ПФР по РД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Кизилюртовском районе, МИ ФНС России №8, Центр занятости населении в Кизилюртовском районе, ФУ администрации МР «Кизилюртовский район»,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МР «Кизилюртовский район», УСХ администрации МР «Кизилюртовский район»,  разработан и утвержден План работы и График выездов рабочей группы </w:t>
      </w:r>
      <w:r w:rsidRPr="00D71E6F">
        <w:rPr>
          <w:rFonts w:ascii="Times New Roman" w:hAnsi="Times New Roman" w:cs="Times New Roman"/>
          <w:sz w:val="28"/>
          <w:szCs w:val="28"/>
        </w:rPr>
        <w:t>по снижению  неформальной занятости в муниципальном районе «Кизилюр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1E6F">
        <w:rPr>
          <w:rFonts w:ascii="Times New Roman" w:hAnsi="Times New Roman" w:cs="Times New Roman"/>
          <w:sz w:val="28"/>
          <w:szCs w:val="28"/>
        </w:rPr>
        <w:t>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эффективности  работы  создано две рабочей подгруппы, между рабочими подгруппами распределены населенные пункты района.   </w:t>
      </w:r>
    </w:p>
    <w:p w:rsidR="00470083" w:rsidRDefault="00470083" w:rsidP="00470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 работы  рабочими  подгруппами выявлено  всего 1638  работников без трудовых соглашений и ИП без соответствующей  регистрации в налоговых органах, из них  по состоянию на 01.01.2017г. заключены трудовые соглашении и поставлено на  налоговый учет 1484 работников и ИП (или 102%  исп. от годового плана -1453).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Приложение №4: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 результатов работы по снижению неформальной    занятости в МР «Кизилюртовский район».)</w:t>
      </w:r>
      <w:proofErr w:type="gramEnd"/>
    </w:p>
    <w:p w:rsidR="00470083" w:rsidRPr="00255F89" w:rsidRDefault="00470083" w:rsidP="00470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соответствии с подпунктом «в» пунктом 8 Перечня поручений Президента Российской Федерации В. Путина от 25 апреля 2015года №815-ГС  и пункта 5 раздела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«Организация работы по внедрению успешных практик  «Порядка мер, направленных на развитие малого и среднего предпринимательства и снятие административных барьеров в муниципальных образованиях» администрация МР «</w:t>
      </w:r>
      <w:r w:rsidRPr="00521815">
        <w:rPr>
          <w:rFonts w:ascii="Times New Roman" w:eastAsia="Times New Roman" w:hAnsi="Times New Roman" w:cs="Times New Roman"/>
          <w:kern w:val="36"/>
          <w:sz w:val="28"/>
          <w:szCs w:val="28"/>
        </w:rPr>
        <w:t>Кизилюртовский рай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Pr="00521815">
        <w:rPr>
          <w:rFonts w:ascii="Times New Roman" w:eastAsia="Times New Roman" w:hAnsi="Times New Roman" w:cs="Times New Roman"/>
          <w:kern w:val="36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подключилась к системе внедрения успешных муниципальных практик.</w:t>
      </w:r>
      <w:proofErr w:type="gramEnd"/>
    </w:p>
    <w:p w:rsidR="00470083" w:rsidRDefault="00470083" w:rsidP="00470083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70083" w:rsidRDefault="00470083" w:rsidP="00470083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70083" w:rsidRPr="00521815" w:rsidRDefault="00470083" w:rsidP="00470083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70083" w:rsidRDefault="00470083" w:rsidP="0047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лавы- начальник УСХ,</w:t>
      </w:r>
    </w:p>
    <w:p w:rsidR="00470083" w:rsidRDefault="00470083" w:rsidP="0047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и развития МСП                                       И.М.Ибрагимов.</w:t>
      </w:r>
    </w:p>
    <w:p w:rsidR="00BA6A41" w:rsidRDefault="00BA6A41"/>
    <w:sectPr w:rsidR="00BA6A41" w:rsidSect="005A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0083"/>
    <w:rsid w:val="00470083"/>
    <w:rsid w:val="005A2ADE"/>
    <w:rsid w:val="00AE22BD"/>
    <w:rsid w:val="00B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0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700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70083"/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47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2017-02-10T08:50:00Z</dcterms:created>
  <dcterms:modified xsi:type="dcterms:W3CDTF">2017-02-10T08:54:00Z</dcterms:modified>
</cp:coreProperties>
</file>