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53" w:rsidRPr="00B5029B" w:rsidRDefault="00C50653" w:rsidP="00C506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029B">
        <w:rPr>
          <w:rFonts w:ascii="Times New Roman" w:hAnsi="Times New Roman" w:cs="Times New Roman"/>
          <w:sz w:val="20"/>
          <w:szCs w:val="20"/>
        </w:rPr>
        <w:t>Приложение  №1</w:t>
      </w:r>
    </w:p>
    <w:p w:rsidR="00B5029B" w:rsidRPr="00B5029B" w:rsidRDefault="00B5029B" w:rsidP="00C506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К</w:t>
      </w:r>
      <w:r w:rsidRPr="00B5029B">
        <w:rPr>
          <w:rFonts w:ascii="Times New Roman" w:hAnsi="Times New Roman" w:cs="Times New Roman"/>
          <w:sz w:val="20"/>
          <w:szCs w:val="20"/>
        </w:rPr>
        <w:t>омплексной программе социально-экономического</w:t>
      </w:r>
    </w:p>
    <w:p w:rsidR="00B5029B" w:rsidRPr="00B5029B" w:rsidRDefault="00B5029B" w:rsidP="00C506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5029B">
        <w:rPr>
          <w:rFonts w:ascii="Times New Roman" w:hAnsi="Times New Roman" w:cs="Times New Roman"/>
          <w:sz w:val="20"/>
          <w:szCs w:val="20"/>
        </w:rPr>
        <w:t>развития МР «Кизилюртовский район» на 2016-2018 годы</w:t>
      </w:r>
    </w:p>
    <w:p w:rsidR="00C50653" w:rsidRPr="00610F8D" w:rsidRDefault="00C50653" w:rsidP="00C5065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0653" w:rsidRPr="00610F8D" w:rsidRDefault="00C50653" w:rsidP="00C506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0653" w:rsidRPr="00610F8D" w:rsidRDefault="00C50653" w:rsidP="00C506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0F8D">
        <w:rPr>
          <w:rFonts w:ascii="Times New Roman" w:hAnsi="Times New Roman" w:cs="Times New Roman"/>
          <w:b/>
          <w:sz w:val="20"/>
          <w:szCs w:val="20"/>
        </w:rPr>
        <w:t>Перечень программных мероприятий</w:t>
      </w:r>
    </w:p>
    <w:p w:rsidR="00C50653" w:rsidRPr="00610F8D" w:rsidRDefault="00647990" w:rsidP="00C506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0F8D">
        <w:rPr>
          <w:rFonts w:ascii="Times New Roman" w:hAnsi="Times New Roman" w:cs="Times New Roman"/>
          <w:b/>
          <w:sz w:val="20"/>
          <w:szCs w:val="20"/>
        </w:rPr>
        <w:t>по МО</w:t>
      </w:r>
      <w:r w:rsidR="00840BF1" w:rsidRPr="00610F8D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610F8D">
        <w:rPr>
          <w:rFonts w:ascii="Times New Roman" w:hAnsi="Times New Roman" w:cs="Times New Roman"/>
          <w:b/>
          <w:sz w:val="20"/>
          <w:szCs w:val="20"/>
        </w:rPr>
        <w:t xml:space="preserve">Кизилюртовский </w:t>
      </w:r>
      <w:r w:rsidR="00C50653" w:rsidRPr="00610F8D">
        <w:rPr>
          <w:rFonts w:ascii="Times New Roman" w:hAnsi="Times New Roman" w:cs="Times New Roman"/>
          <w:b/>
          <w:sz w:val="20"/>
          <w:szCs w:val="20"/>
        </w:rPr>
        <w:t xml:space="preserve"> район»</w:t>
      </w:r>
    </w:p>
    <w:p w:rsidR="00C50653" w:rsidRPr="00610F8D" w:rsidRDefault="00C50653" w:rsidP="00C506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92"/>
        <w:gridCol w:w="2552"/>
        <w:gridCol w:w="3260"/>
        <w:gridCol w:w="3687"/>
      </w:tblGrid>
      <w:tr w:rsidR="00C50653" w:rsidRPr="00610F8D" w:rsidTr="00426A38">
        <w:trPr>
          <w:trHeight w:val="675"/>
          <w:tblHeader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53" w:rsidRPr="00610F8D" w:rsidRDefault="00C50653" w:rsidP="0042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53" w:rsidRPr="00610F8D" w:rsidRDefault="00C50653" w:rsidP="0042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53" w:rsidRPr="00610F8D" w:rsidRDefault="00C50653" w:rsidP="0042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мероприятий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53" w:rsidRPr="00610F8D" w:rsidRDefault="00C50653" w:rsidP="00426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Ожидаемые результаты реализации мероприятий</w:t>
            </w:r>
          </w:p>
        </w:tc>
      </w:tr>
      <w:tr w:rsidR="00C50653" w:rsidRPr="00610F8D" w:rsidTr="00426A38">
        <w:trPr>
          <w:trHeight w:val="322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53" w:rsidRPr="00610F8D" w:rsidRDefault="00C50653" w:rsidP="00426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53" w:rsidRPr="00610F8D" w:rsidRDefault="00C50653" w:rsidP="00426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53" w:rsidRPr="00610F8D" w:rsidRDefault="00C50653" w:rsidP="00426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53" w:rsidRPr="00610F8D" w:rsidRDefault="00C50653" w:rsidP="00426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0653" w:rsidRPr="00610F8D" w:rsidTr="00426A38">
        <w:trPr>
          <w:trHeight w:val="315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3" w:rsidRPr="00610F8D" w:rsidRDefault="00C50653" w:rsidP="00426A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2D7EC8" w:rsidRPr="00610F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агропромышленного комплекса</w:t>
            </w:r>
          </w:p>
        </w:tc>
      </w:tr>
      <w:tr w:rsidR="00840BF1" w:rsidRPr="00610F8D" w:rsidTr="00AA6EAC">
        <w:trPr>
          <w:trHeight w:val="3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Развитие семеноводства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145D9A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Расширение посевных площадей под посевами элитными семенами в семеноводческом хозяйстве  СПК «Дружба»</w:t>
            </w:r>
            <w:r w:rsidR="00840BF1" w:rsidRPr="00610F8D">
              <w:rPr>
                <w:rFonts w:ascii="Times New Roman" w:hAnsi="Times New Roman" w:cs="Times New Roman"/>
                <w:sz w:val="20"/>
                <w:szCs w:val="20"/>
              </w:rPr>
              <w:t>, обеспечивающего сельхозтоваропроизводителей района необходимым количеством семян с требуемыми хозяйственно-биологическими показателями качества по экономически обоснованным ценам.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Увеличение объемов производства продукции растениеводства на основе роста урожайности  сельскохозяйственных культур за счет доведения  удельного  веса  семенных посевов в общей площади посевов до 20 %</w:t>
            </w:r>
            <w:r w:rsidR="0012730D" w:rsidRPr="00610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6537" w:rsidRPr="00610F8D">
              <w:rPr>
                <w:rFonts w:ascii="Times New Roman" w:hAnsi="Times New Roman" w:cs="Times New Roman"/>
                <w:sz w:val="20"/>
                <w:szCs w:val="20"/>
              </w:rPr>
              <w:t>Площадь посева элитными семенами должна составлять не менее 400 га. Число новых рабочих мест составит 4 человека.</w:t>
            </w:r>
          </w:p>
        </w:tc>
      </w:tr>
      <w:tr w:rsidR="00840BF1" w:rsidRPr="00610F8D" w:rsidTr="00AA6EAC">
        <w:trPr>
          <w:trHeight w:val="3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840B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садоводства и виноградарства, поддержка закладки и ухода за многолетними насаждениями и виноградниками.               </w:t>
            </w:r>
          </w:p>
          <w:p w:rsidR="00840BF1" w:rsidRPr="00610F8D" w:rsidRDefault="00840BF1" w:rsidP="00840B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П роведение конкурсов:</w:t>
            </w:r>
          </w:p>
          <w:p w:rsidR="00840BF1" w:rsidRPr="00610F8D" w:rsidRDefault="00840BF1" w:rsidP="00840B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«Лучший садовод района»,</w:t>
            </w:r>
          </w:p>
          <w:p w:rsidR="00840BF1" w:rsidRPr="00610F8D" w:rsidRDefault="00840BF1" w:rsidP="00840B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«Лучший виноградарь района»</w:t>
            </w:r>
            <w:r w:rsidR="008021BF" w:rsidRPr="00610F8D">
              <w:rPr>
                <w:rFonts w:ascii="Times New Roman" w:hAnsi="Times New Roman" w:cs="Times New Roman"/>
                <w:sz w:val="20"/>
                <w:szCs w:val="20"/>
              </w:rPr>
              <w:t>, «Лучший предприниматель года»</w:t>
            </w:r>
          </w:p>
          <w:p w:rsidR="00840BF1" w:rsidRPr="00610F8D" w:rsidRDefault="00840BF1" w:rsidP="0084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- Субсидирование части затрат за составление ПСД на закладку многолетних насаждений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Наращивание производства плодово-виноградной продукции способствует полному обеспечению  населения района и  республики,   также вывозу</w:t>
            </w:r>
            <w:r w:rsidR="008021BF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в  промышленные  центры России.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37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Увеличение объемов  производства плодов до 5.800 тонн, увеличение валового сборов виног</w:t>
            </w:r>
            <w:r w:rsidR="00145D9A" w:rsidRPr="00610F8D">
              <w:rPr>
                <w:rFonts w:ascii="Times New Roman" w:hAnsi="Times New Roman" w:cs="Times New Roman"/>
                <w:sz w:val="20"/>
                <w:szCs w:val="20"/>
              </w:rPr>
              <w:t>рада да 7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.000 тонн, увеличение площади закладки многолет</w:t>
            </w:r>
            <w:r w:rsidR="00145D9A" w:rsidRPr="00610F8D">
              <w:rPr>
                <w:rFonts w:ascii="Times New Roman" w:hAnsi="Times New Roman" w:cs="Times New Roman"/>
                <w:sz w:val="20"/>
                <w:szCs w:val="20"/>
              </w:rPr>
              <w:t>них плодовых  насаждений  до  110 га, виноградников  до 12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0 га</w:t>
            </w:r>
            <w:r w:rsidR="00076537" w:rsidRPr="00610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21BF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6537" w:rsidRPr="00610F8D">
              <w:rPr>
                <w:rFonts w:ascii="Times New Roman" w:hAnsi="Times New Roman" w:cs="Times New Roman"/>
                <w:sz w:val="20"/>
                <w:szCs w:val="20"/>
              </w:rPr>
              <w:t>Число новых рабочих мест составит 310 человек.</w:t>
            </w:r>
          </w:p>
        </w:tc>
      </w:tr>
      <w:tr w:rsidR="00840BF1" w:rsidRPr="00610F8D" w:rsidTr="00AA6EAC">
        <w:trPr>
          <w:trHeight w:val="32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мероприятий по борьбе с саранчой.</w:t>
            </w:r>
            <w:r w:rsidR="00076537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ООО «Мелиоратор»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Предупреждение возникновения и распространения саранчовых.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Сохранение посевов сельскохозяйственных культур от нашествий саранчовых.</w:t>
            </w:r>
            <w:r w:rsidR="00076537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Число новых рабочих мест составит 4  человека</w:t>
            </w:r>
          </w:p>
        </w:tc>
      </w:tr>
      <w:tr w:rsidR="00840BF1" w:rsidRPr="00610F8D" w:rsidTr="00AA6EAC">
        <w:trPr>
          <w:trHeight w:val="537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и логистического обеспечения рынков  продукции растениеводства.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Строительство ярмарочно- логистического центра в селении Нижний Чирюрт в целях создания товаропроводящей инфраструктуры, расширения рынков сбыта винограда, овощей, фруктов, прочей сельскохозяйственной продукции, сырья и продовольствия.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Увеличение удельного веса отечественного производства зерна, картофеля, овощей, плодов и винограда</w:t>
            </w:r>
            <w:r w:rsidR="00076537" w:rsidRPr="00610F8D">
              <w:rPr>
                <w:rFonts w:ascii="Times New Roman" w:hAnsi="Times New Roman" w:cs="Times New Roman"/>
                <w:sz w:val="20"/>
                <w:szCs w:val="20"/>
              </w:rPr>
              <w:t>. Число новых рабочих мест составит 8 человек.</w:t>
            </w:r>
          </w:p>
        </w:tc>
      </w:tr>
      <w:tr w:rsidR="00840BF1" w:rsidRPr="00610F8D" w:rsidTr="00AA6EAC">
        <w:trPr>
          <w:trHeight w:val="53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BF1" w:rsidRPr="00610F8D" w:rsidTr="00AA6EAC">
        <w:trPr>
          <w:trHeight w:val="73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BF1" w:rsidRPr="00610F8D" w:rsidTr="00AA6EAC">
        <w:trPr>
          <w:trHeight w:val="53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BF1" w:rsidRPr="00610F8D" w:rsidTr="00AA6EAC">
        <w:trPr>
          <w:trHeight w:val="537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BF1" w:rsidRPr="00610F8D" w:rsidTr="00AA6EAC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Развитие племенного животноводства</w:t>
            </w:r>
            <w:r w:rsidR="00145D9A" w:rsidRPr="00610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6537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5D9A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r w:rsidR="00145D9A" w:rsidRPr="00610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содействия СПК «Какаюртовский»  во включении этого хозяйства в реестр племенных хозяйств по выращиванию МРС.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Породное обновление животных и птицы позволит повысить их 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продуктивность.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F1" w:rsidRPr="00610F8D" w:rsidRDefault="00840BF1" w:rsidP="001C7C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доли племенных животных в структуре стада.</w:t>
            </w:r>
          </w:p>
          <w:p w:rsidR="00840BF1" w:rsidRPr="00610F8D" w:rsidRDefault="00840BF1" w:rsidP="001C7C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Доведение удельного веса племенных 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 от общего поголовья  скота районе до 5%.</w:t>
            </w:r>
            <w:r w:rsidR="00076537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Число  новых рабочих мест 5 человек</w:t>
            </w:r>
          </w:p>
          <w:p w:rsidR="00145D9A" w:rsidRPr="00610F8D" w:rsidRDefault="00145D9A" w:rsidP="001C7C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D9A" w:rsidRPr="00610F8D" w:rsidRDefault="00145D9A" w:rsidP="001C7C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D9A" w:rsidRPr="00610F8D" w:rsidRDefault="00145D9A" w:rsidP="001C7C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D9A" w:rsidRPr="00610F8D" w:rsidRDefault="00145D9A" w:rsidP="001C7C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D9A" w:rsidRPr="00610F8D" w:rsidRDefault="00145D9A" w:rsidP="001C7C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D9A" w:rsidRPr="00610F8D" w:rsidRDefault="00145D9A" w:rsidP="001C7C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D9A" w:rsidRPr="00610F8D" w:rsidTr="00AA6EAC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9A" w:rsidRPr="00610F8D" w:rsidRDefault="00145D9A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9A" w:rsidRPr="00610F8D" w:rsidRDefault="00145D9A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Развитие мясного животноводства. Строительство животноводческой фермы на 200 голов в селении Нижний Чирюрт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9A" w:rsidRPr="00610F8D" w:rsidRDefault="004624FC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Наращивание производства мяса, и обеспечение населения района и республики в полном объеме потребности в нем.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37" w:rsidRPr="00610F8D" w:rsidRDefault="00145D9A" w:rsidP="001C7C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 скота и птицы в живом весе возрастет до 6200 тонн. </w:t>
            </w:r>
          </w:p>
          <w:p w:rsidR="00145D9A" w:rsidRPr="00610F8D" w:rsidRDefault="00076537" w:rsidP="001C7C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Число новых рабочих мест составит 8 человек.</w:t>
            </w:r>
            <w:r w:rsidR="00145D9A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BF1" w:rsidRPr="00610F8D" w:rsidTr="00AA6EAC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145D9A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Развитие молочного животноводства</w:t>
            </w:r>
            <w:r w:rsidR="004624FC" w:rsidRPr="00610F8D">
              <w:rPr>
                <w:rFonts w:ascii="Times New Roman" w:hAnsi="Times New Roman" w:cs="Times New Roman"/>
                <w:sz w:val="20"/>
                <w:szCs w:val="20"/>
              </w:rPr>
              <w:t>. Реконструкция и модернизация молочной животноводческой фермы в селении Стальское.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Наращивание производства молока будет осуществляться на основе стабилизации</w:t>
            </w:r>
            <w:r w:rsidR="004624FC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поголовья коров на уровне 11.85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0 голов и роста их продуктивности во всех формах хозяйствован</w:t>
            </w:r>
            <w:r w:rsidR="00253064" w:rsidRPr="00610F8D">
              <w:rPr>
                <w:rFonts w:ascii="Times New Roman" w:hAnsi="Times New Roman" w:cs="Times New Roman"/>
                <w:sz w:val="20"/>
                <w:szCs w:val="20"/>
              </w:rPr>
              <w:t>ия за счет породного обновления,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укрепления кормовой базы, перехода к новым технологиям содержания и кормления животных и птицы.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145D9A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Производство молока</w:t>
            </w:r>
            <w:r w:rsidR="00076537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по району 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6537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будет доведено 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до 21.804</w:t>
            </w:r>
            <w:r w:rsidR="00840BF1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тонн.</w:t>
            </w:r>
            <w:r w:rsidR="00076537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Число новых рабочих мет составит 8 человек.</w:t>
            </w:r>
          </w:p>
        </w:tc>
      </w:tr>
      <w:tr w:rsidR="00840BF1" w:rsidRPr="00610F8D" w:rsidTr="00AA6EAC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145D9A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Развитие овцеводства и козоводства.</w:t>
            </w:r>
            <w:r w:rsidR="004624FC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СПК «Какаюртовский» племенных баранов производителей для улучшения породного состава поголовья МРС.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Наращивание поголовья овец и коз в районе, повышение занятости, доходов и уровня жизни населения района, обеспечение бараниной населения района и республики в полном объеме потребности и вывоз ее в промышленные центры  России.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Увеличение поголовья овец и коз в сельскохозяйственных организациях, ферме</w:t>
            </w:r>
            <w:r w:rsidR="00145D9A" w:rsidRPr="00610F8D">
              <w:rPr>
                <w:rFonts w:ascii="Times New Roman" w:hAnsi="Times New Roman" w:cs="Times New Roman"/>
                <w:sz w:val="20"/>
                <w:szCs w:val="20"/>
              </w:rPr>
              <w:t>рских  хозяйствах  и ЛПХ до 40.3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00 голов.</w:t>
            </w:r>
          </w:p>
          <w:p w:rsidR="00AA2C36" w:rsidRPr="00610F8D" w:rsidRDefault="00AA2C36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Число новых рабочих мест составит 6  человек.</w:t>
            </w:r>
          </w:p>
        </w:tc>
      </w:tr>
      <w:tr w:rsidR="00840BF1" w:rsidRPr="00610F8D" w:rsidTr="00AA6EAC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145D9A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противоэпизоотических мероприятий.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 полном объеме и своевременное снабжение лекарственными средствами и препаратами для ветеринарного применения   для оперативной диагностики профилактической вакцинации животных (птицы)  в  населенных пунктах с высоким риском возникновения  очагов заразных болезней, </w:t>
            </w:r>
            <w:r w:rsidR="00253064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проведения профилактических мероприятий по предупреждению очагов заразных болезней животных, обеспечения населения качественной животноводческой продукцией, поступающей от производителей.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позволит стабилизировать ситуацию и достичь устойчивого эпизоотического благополучия в районе по экономически значимым заразным заболеваниям животных, улучшить эпизоотическую ситуацию по бешенству, а также обеспечить реализацию запланированного объема выпуска животноводческой продукции. </w:t>
            </w:r>
          </w:p>
        </w:tc>
      </w:tr>
      <w:tr w:rsidR="00840BF1" w:rsidRPr="00610F8D" w:rsidTr="00AA6EAC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145D9A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оформлении земельных участков в собственность крестьянскими (</w:t>
            </w:r>
            <w:r w:rsidR="004624FC" w:rsidRPr="00610F8D">
              <w:rPr>
                <w:rFonts w:ascii="Times New Roman" w:hAnsi="Times New Roman" w:cs="Times New Roman"/>
                <w:sz w:val="20"/>
                <w:szCs w:val="20"/>
              </w:rPr>
              <w:t>фермерскими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) хозяйствами.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Расширение допуска  малых форм хозяйствования к земле.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Площадь  сельскохозяйственных земель, оформленных в собственность фермерами, ____га.</w:t>
            </w:r>
          </w:p>
        </w:tc>
      </w:tr>
      <w:tr w:rsidR="00840BF1" w:rsidRPr="00610F8D" w:rsidTr="00AA6EAC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45D9A"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4624FC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МУП МТС «Кизилюртовская». </w:t>
            </w:r>
            <w:r w:rsidR="00840BF1" w:rsidRPr="00610F8D">
              <w:rPr>
                <w:rFonts w:ascii="Times New Roman" w:hAnsi="Times New Roman" w:cs="Times New Roman"/>
                <w:sz w:val="20"/>
                <w:szCs w:val="20"/>
              </w:rPr>
              <w:t>Обновление парка сельскохозяйственной техники. Реализация мероприятий республиканской целевой программы  Повышение технической оснащенности сельскохозяйственного производства в Республике Дагестан на 2012-2020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Приобретение сельскохозяйственными товаропроизводителям</w:t>
            </w:r>
            <w:r w:rsidR="00801FC0" w:rsidRPr="00610F8D">
              <w:rPr>
                <w:rFonts w:ascii="Times New Roman" w:hAnsi="Times New Roman" w:cs="Times New Roman"/>
                <w:sz w:val="20"/>
                <w:szCs w:val="20"/>
              </w:rPr>
              <w:t>и новой техники, в  том числе 69 тракторов,21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зерноуборочных комбайнов, 5 кормоуборочных комбайнов.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Производство основных сельскохозяйственных культур. прирост производства мяса и молока.</w:t>
            </w:r>
            <w:r w:rsidR="00AA2C36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Число новых рабочих мест 59 человек.</w:t>
            </w:r>
          </w:p>
        </w:tc>
      </w:tr>
      <w:tr w:rsidR="00840BF1" w:rsidRPr="00610F8D" w:rsidTr="00AA6EAC">
        <w:trPr>
          <w:trHeight w:val="4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45D9A"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Развитие биотехнологий. В соответствии с Постановлением Правительства РД  от 11.02.2015 г  № 43 оказание содействия тепличным хозяйствам района в использовании</w:t>
            </w:r>
            <w:r w:rsidR="004624FC" w:rsidRPr="00610F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24FC" w:rsidRPr="00610F8D" w:rsidRDefault="004624FC" w:rsidP="00426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-Строительство теплицы на площади 1 га в селении и Новый Чиркей.</w:t>
            </w:r>
          </w:p>
          <w:p w:rsidR="004624FC" w:rsidRPr="00610F8D" w:rsidRDefault="004624FC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-Строительство тепличного хозяйства  на площади 3 га в селении Нижний Чирюрт.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Использование биостимуляторов роста сельскохозяйственных культур, в частности  в овощеводстве защищенного грунта, позволит значительно повысить урожайность последних и будет создана основа для качественного изменения структуры аграрного сектора  экономики района.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Рост применения биологических средств защиты растений и микробиологических у</w:t>
            </w:r>
            <w:r w:rsidR="004624FC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добрений в растениеводстве, в частности 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24FC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закрытого грунта.</w:t>
            </w:r>
            <w:r w:rsidR="00AA2C36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Число новых рабочих мест составит 90 человек.</w:t>
            </w:r>
          </w:p>
        </w:tc>
      </w:tr>
      <w:tr w:rsidR="00840BF1" w:rsidRPr="00610F8D" w:rsidTr="00AA6EAC">
        <w:trPr>
          <w:trHeight w:val="4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F1" w:rsidRPr="00610F8D" w:rsidRDefault="00840BF1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45D9A"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F1" w:rsidRPr="00610F8D" w:rsidRDefault="00840BF1" w:rsidP="00840BF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 сельхозтоваропроизводителям, применивших механизм финансового оздоровления</w:t>
            </w:r>
          </w:p>
          <w:p w:rsidR="00840BF1" w:rsidRPr="00610F8D" w:rsidRDefault="00840BF1" w:rsidP="00840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в рамках Федерального  закона «О финансовом оздоровлении сельскохозяйственных товаропроизводителе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3064" w:rsidRPr="00610F8D" w:rsidRDefault="00840BF1" w:rsidP="001C7C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финансовой устойчивости сельскохозяйственных товаропроизводителей:    </w:t>
            </w:r>
          </w:p>
          <w:p w:rsidR="00840BF1" w:rsidRPr="00610F8D" w:rsidRDefault="00840BF1" w:rsidP="001C7C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253064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СПК им Р.П.Аскерханова,</w:t>
            </w:r>
          </w:p>
          <w:p w:rsidR="00840BF1" w:rsidRPr="00610F8D" w:rsidRDefault="00253064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-СПК «Зубутлинский»,</w:t>
            </w:r>
            <w:r w:rsidR="00840BF1" w:rsidRPr="00610F8D">
              <w:rPr>
                <w:rFonts w:ascii="Times New Roman" w:hAnsi="Times New Roman" w:cs="Times New Roman"/>
                <w:sz w:val="20"/>
                <w:szCs w:val="20"/>
              </w:rPr>
              <w:br/>
              <w:t>-СПК «Акнадинский.</w:t>
            </w:r>
          </w:p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BF1" w:rsidRPr="00610F8D" w:rsidRDefault="00840BF1" w:rsidP="001C7C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Повышения уровня рентабельности в</w:t>
            </w:r>
            <w:r w:rsidR="00253064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40BF1" w:rsidRPr="00610F8D" w:rsidRDefault="00840BF1" w:rsidP="001C7C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-СПК им Р.П.Аскерханова,</w:t>
            </w:r>
          </w:p>
          <w:p w:rsidR="00840BF1" w:rsidRPr="00610F8D" w:rsidRDefault="00253064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-СПК «Зубутлинский»,</w:t>
            </w:r>
            <w:r w:rsidR="00840BF1" w:rsidRPr="00610F8D">
              <w:rPr>
                <w:rFonts w:ascii="Times New Roman" w:hAnsi="Times New Roman" w:cs="Times New Roman"/>
                <w:sz w:val="20"/>
                <w:szCs w:val="20"/>
              </w:rPr>
              <w:br/>
              <w:t>-СПК «Акнадинский</w:t>
            </w:r>
          </w:p>
          <w:p w:rsidR="00840BF1" w:rsidRPr="00610F8D" w:rsidRDefault="00840BF1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8B7" w:rsidRPr="00610F8D" w:rsidTr="00AA6EAC">
        <w:trPr>
          <w:trHeight w:val="4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7" w:rsidRPr="00610F8D" w:rsidRDefault="00F718B7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45D9A"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7" w:rsidRPr="00610F8D" w:rsidRDefault="00F718B7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культурнотехнических работ, фитомелиорации опустыненных земель и агролесомелиорации.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18B7" w:rsidRPr="00610F8D" w:rsidRDefault="00F718B7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 содействия при приобретении саженцев деревьев соответствующих пород для предотвращения выбытия  земель сельскохозяйственного использования из оборота, деградации земель, опустынивания или зарастания, закустаривания и 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других неблагоприятных культуртехнических условий.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18B7" w:rsidRPr="00610F8D" w:rsidRDefault="00F718B7" w:rsidP="001C7C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общих условий функционирования сельхозпроизводства.</w:t>
            </w:r>
          </w:p>
        </w:tc>
      </w:tr>
      <w:tr w:rsidR="00F718B7" w:rsidRPr="00610F8D" w:rsidTr="00AA6EAC">
        <w:trPr>
          <w:trHeight w:val="4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7" w:rsidRPr="00610F8D" w:rsidRDefault="00F718B7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45D9A"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B7" w:rsidRPr="00610F8D" w:rsidRDefault="00F718B7" w:rsidP="00426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Компенсация затрат сельскохозяйственным товаропроизводителям на восстановление, реконструкцию и техническое перевооружение внутрихозяйственных мелиоративных систем</w:t>
            </w:r>
            <w:r w:rsidR="004624FC"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 в СПК им.У.Буйнакского и СПК «Акнадинский»</w:t>
            </w:r>
            <w:r w:rsidR="008021BF" w:rsidRPr="00610F8D">
              <w:rPr>
                <w:rFonts w:ascii="Times New Roman" w:hAnsi="Times New Roman" w:cs="Times New Roman"/>
                <w:sz w:val="20"/>
                <w:szCs w:val="20"/>
              </w:rPr>
              <w:t>, КФХ «Гасандибиров».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18B7" w:rsidRPr="00610F8D" w:rsidRDefault="00F718B7" w:rsidP="002D7E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благоприятного инвестиционного климата и повышение объема инвестиций в мелиоративную систему  района.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C36" w:rsidRPr="00610F8D" w:rsidRDefault="00F718B7" w:rsidP="002D7E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Поддержка финансовых ресурсов сельхозтоваропроизводителей.</w:t>
            </w:r>
          </w:p>
          <w:p w:rsidR="00F718B7" w:rsidRPr="00610F8D" w:rsidRDefault="00AA2C36" w:rsidP="002D7E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Число новых рабочих мест составит 20 человек.  </w:t>
            </w:r>
          </w:p>
        </w:tc>
      </w:tr>
      <w:tr w:rsidR="004624FC" w:rsidRPr="00610F8D" w:rsidTr="00AA6EAC">
        <w:trPr>
          <w:trHeight w:val="4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C" w:rsidRPr="00610F8D" w:rsidRDefault="00801FC0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C" w:rsidRPr="00610F8D" w:rsidRDefault="00801FC0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Поддержка</w:t>
            </w:r>
            <w:r w:rsidR="004624FC" w:rsidRPr="00610F8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малого и среднего предпринимательства в МР «Кизилюртовский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4FC" w:rsidRPr="00610F8D" w:rsidRDefault="00801FC0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мероприятий муниципальной программы развития малого и среднего предпринимательства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4FC" w:rsidRPr="00610F8D" w:rsidRDefault="00801FC0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 субъектов малого и среднего предпринимательства, связанных с производством и сбытом продукции.</w:t>
            </w:r>
            <w:r w:rsidR="008021BF"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2C36"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новых рабочих мест  за 4 года  составит 130 человек</w:t>
            </w:r>
          </w:p>
        </w:tc>
      </w:tr>
      <w:tr w:rsidR="004624FC" w:rsidRPr="00610F8D" w:rsidTr="00AA6EAC">
        <w:trPr>
          <w:trHeight w:val="4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FC" w:rsidRPr="00610F8D" w:rsidRDefault="00801FC0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4FC" w:rsidRPr="00610F8D" w:rsidRDefault="004624FC" w:rsidP="00462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производственных площадей по переработке семян подсолнечника  ИП Муртузов Р.М</w:t>
            </w:r>
            <w:r w:rsidR="00FB7F8E" w:rsidRPr="0061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4FC" w:rsidRPr="00610F8D" w:rsidRDefault="00801FC0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содействия в благоустройстве близлежащей территории и подъездных путей к производственным объектам ИП Муртузова</w:t>
            </w:r>
            <w:r w:rsidR="00FB7F8E"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Р.М.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4FC" w:rsidRPr="00610F8D" w:rsidRDefault="00801FC0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 созданных рабочих мест и увеличение налоговой базы.</w:t>
            </w:r>
            <w:r w:rsidR="00AA2C36"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</w:t>
            </w:r>
            <w:r w:rsidR="00612B83"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ло новых рабочих мест составит 4</w:t>
            </w:r>
            <w:r w:rsidR="00AA2C36"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5 человек.</w:t>
            </w:r>
          </w:p>
        </w:tc>
      </w:tr>
      <w:tr w:rsidR="00612B83" w:rsidRPr="00610F8D" w:rsidTr="00AA6EAC">
        <w:trPr>
          <w:trHeight w:val="4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3" w:rsidRPr="00610F8D" w:rsidRDefault="00612B83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B83" w:rsidRPr="00610F8D" w:rsidRDefault="00612B83" w:rsidP="00462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1 сельскохозяйственного потребительского кооператива в селении Султанянгиюрт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2B83" w:rsidRPr="00610F8D" w:rsidRDefault="0023388B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СПОКу в организации работы по  заготовке, переработке, продаже и вывозу продукции.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2B83" w:rsidRPr="00610F8D" w:rsidRDefault="0023388B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 сельского населения в производстве и выращивании сельскохозяйственной продукции.</w:t>
            </w:r>
          </w:p>
        </w:tc>
      </w:tr>
      <w:tr w:rsidR="00612B83" w:rsidRPr="00610F8D" w:rsidTr="002D7EC8">
        <w:trPr>
          <w:trHeight w:val="4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3" w:rsidRPr="00610F8D" w:rsidRDefault="00612B83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3" w:rsidRPr="00610F8D" w:rsidRDefault="008021BF" w:rsidP="002D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торговли.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2B83" w:rsidRPr="00610F8D" w:rsidRDefault="0023388B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на территории города сельскохозяйственных ярмарок «выходного дня».</w:t>
            </w:r>
            <w:r w:rsidR="008021BF"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Участие в республиканских форумах, выставках, ярмарках.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2B83" w:rsidRPr="00610F8D" w:rsidRDefault="0023388B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Координация действий местных производителей сельскохозяйственной продукции,         а также вовлечение их в обеспечение продовольственного рынка горожан.</w:t>
            </w:r>
          </w:p>
        </w:tc>
      </w:tr>
      <w:tr w:rsidR="00612B83" w:rsidRPr="00610F8D" w:rsidTr="002D7EC8">
        <w:trPr>
          <w:trHeight w:val="4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3" w:rsidRPr="00610F8D" w:rsidRDefault="00612B83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3" w:rsidRPr="00610F8D" w:rsidRDefault="00AA6EAC" w:rsidP="002D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молочного скотоводства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2B83" w:rsidRPr="00610F8D" w:rsidRDefault="00AA6EAC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Реконструкция животноводческой фермы  на 200 голов КРС молочного направления на базе СПК "Акнадинский"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2B83" w:rsidRPr="00610F8D" w:rsidRDefault="004A381B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</w:t>
            </w:r>
            <w:r w:rsidR="00AA6EAC"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чение производства молока до 360</w:t>
            </w: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 в год. Создание новых рабочих мест в количестве 4 человека.</w:t>
            </w:r>
          </w:p>
        </w:tc>
      </w:tr>
      <w:tr w:rsidR="00612B83" w:rsidRPr="00610F8D" w:rsidTr="002D7EC8">
        <w:trPr>
          <w:trHeight w:val="11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3" w:rsidRPr="00610F8D" w:rsidRDefault="00612B83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3" w:rsidRPr="00610F8D" w:rsidRDefault="004A381B" w:rsidP="002D7EC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птицеводства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381B" w:rsidRPr="00610F8D" w:rsidRDefault="004A381B" w:rsidP="004A38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птицекомплекса в с.Стальское  на 240 тыс.кур несушек на площади  6 га.</w:t>
            </w:r>
          </w:p>
          <w:p w:rsidR="00612B83" w:rsidRPr="00610F8D" w:rsidRDefault="00612B83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2B83" w:rsidRPr="00610F8D" w:rsidRDefault="004A381B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населения города и района яйцами до 15 млн.штук в год. Создание новых  75 рабочих мест. </w:t>
            </w:r>
          </w:p>
        </w:tc>
      </w:tr>
      <w:tr w:rsidR="00612B83" w:rsidRPr="00610F8D" w:rsidTr="002D7EC8">
        <w:trPr>
          <w:trHeight w:val="4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3" w:rsidRPr="00610F8D" w:rsidRDefault="004A381B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83" w:rsidRPr="00610F8D" w:rsidRDefault="006850B5" w:rsidP="002D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рыбоводства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50B5" w:rsidRPr="00610F8D" w:rsidRDefault="006850B5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прудов на площади 35 га, в том числе: </w:t>
            </w:r>
          </w:p>
          <w:p w:rsidR="006850B5" w:rsidRPr="00610F8D" w:rsidRDefault="006850B5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- с. Акнада-20га,</w:t>
            </w:r>
          </w:p>
          <w:p w:rsidR="006850B5" w:rsidRPr="00610F8D" w:rsidRDefault="006850B5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-с. Гельбах-5 га,</w:t>
            </w:r>
          </w:p>
          <w:p w:rsidR="006850B5" w:rsidRPr="00610F8D" w:rsidRDefault="006850B5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-с. Нечаевка-5 га,</w:t>
            </w:r>
          </w:p>
          <w:p w:rsidR="006850B5" w:rsidRPr="00610F8D" w:rsidRDefault="006850B5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-с. Султанянгиюрт-5 га.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2B83" w:rsidRPr="00610F8D" w:rsidRDefault="006850B5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жителей города и района высококачественной продукцией рыбоводства. Создание новых рабочих мест в количестве-12 человек</w:t>
            </w:r>
            <w:r w:rsidR="008021BF"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021BF" w:rsidRPr="00610F8D" w:rsidTr="002D7EC8">
        <w:trPr>
          <w:trHeight w:val="4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F" w:rsidRPr="00610F8D" w:rsidRDefault="008021BF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BF" w:rsidRPr="00610F8D" w:rsidRDefault="008021BF" w:rsidP="002D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молочного скотоводства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21BF" w:rsidRPr="00610F8D" w:rsidRDefault="008021BF" w:rsidP="0046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животноводческой фермы  на 200 голов в СПК им.У.Буйнакского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21BF" w:rsidRPr="00610F8D" w:rsidRDefault="00AA6EAC" w:rsidP="00AA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</w:t>
            </w:r>
            <w:r w:rsidR="00666F81"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производства молока на 36</w:t>
            </w: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тонн в год. Создание новых рабочих мест в количестве-3 человек.</w:t>
            </w:r>
          </w:p>
        </w:tc>
      </w:tr>
      <w:tr w:rsidR="00223199" w:rsidRPr="00610F8D" w:rsidTr="002D7EC8">
        <w:trPr>
          <w:trHeight w:val="4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9" w:rsidRPr="00610F8D" w:rsidRDefault="00223199" w:rsidP="0022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9" w:rsidRPr="00610F8D" w:rsidRDefault="00223199" w:rsidP="002D7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EC8" w:rsidRPr="00610F8D" w:rsidRDefault="002D7EC8" w:rsidP="002D7EC8">
            <w:pPr>
              <w:spacing w:after="0"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направлены на создание условий для сохранения культурного наследия и развития культурного потенциала Кизилюртовского района, 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духовных и нравственных качеств личности и общества</w:t>
            </w:r>
            <w:r w:rsidRPr="00610F8D"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  <w:t xml:space="preserve"> </w:t>
            </w:r>
          </w:p>
          <w:p w:rsidR="00223199" w:rsidRPr="00610F8D" w:rsidRDefault="00223199" w:rsidP="0022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EC8" w:rsidRPr="00610F8D" w:rsidRDefault="002D7EC8" w:rsidP="002D7E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мероприятий, проведенных в районе и направленных на сохранение и развитие нематериального культурного наследия народов Дагестана увеличится в 2018 г. до 25;</w:t>
            </w:r>
          </w:p>
          <w:p w:rsidR="002D7EC8" w:rsidRPr="00610F8D" w:rsidRDefault="002D7EC8" w:rsidP="002D7E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концертных мероприятий возрастет до 60;</w:t>
            </w:r>
          </w:p>
          <w:p w:rsidR="002D7EC8" w:rsidRPr="00610F8D" w:rsidRDefault="002D7EC8" w:rsidP="002D7E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мероприятий, проведенных культурно – досуговыми учреждениями возрастет до 93; </w:t>
            </w:r>
          </w:p>
          <w:p w:rsidR="002D7EC8" w:rsidRPr="00610F8D" w:rsidRDefault="002D7EC8" w:rsidP="002D7E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культурно-досуговых мероприятий увеличится до 11900;</w:t>
            </w:r>
          </w:p>
          <w:p w:rsidR="002D7EC8" w:rsidRPr="00610F8D" w:rsidRDefault="002D7EC8" w:rsidP="002D7E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увеличится число пользователей библиотек до 9900; </w:t>
            </w:r>
          </w:p>
          <w:p w:rsidR="002D7EC8" w:rsidRPr="00610F8D" w:rsidRDefault="002D7EC8" w:rsidP="002D7E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книговыдача возрастет до 36320;</w:t>
            </w:r>
          </w:p>
          <w:p w:rsidR="002D7EC8" w:rsidRPr="00610F8D" w:rsidRDefault="002D7EC8" w:rsidP="002D7E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библиотек увеличится до 21378.</w:t>
            </w:r>
          </w:p>
          <w:p w:rsidR="00223199" w:rsidRPr="00610F8D" w:rsidRDefault="00223199" w:rsidP="0022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199" w:rsidRPr="00610F8D" w:rsidTr="002D7EC8">
        <w:trPr>
          <w:trHeight w:val="4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9" w:rsidRPr="00610F8D" w:rsidRDefault="00223199" w:rsidP="0022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9" w:rsidRPr="00610F8D" w:rsidRDefault="00223199" w:rsidP="002D7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 туризма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EC8" w:rsidRPr="00610F8D" w:rsidRDefault="002D7EC8" w:rsidP="002D7E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направлены на </w:t>
            </w:r>
            <w:r w:rsidRPr="0061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благоприятных условий для формирования эффективного конкурентоспособного туристического рынка, способного обеспечить широкие возможности удовлетворения потребности российских и иностранных граждан в туристических услугах</w:t>
            </w:r>
          </w:p>
          <w:p w:rsidR="00223199" w:rsidRPr="00610F8D" w:rsidRDefault="00223199" w:rsidP="0022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199" w:rsidRPr="00610F8D" w:rsidRDefault="002D7EC8" w:rsidP="0022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результате реализации мероприятий увеличится поток туристов в 2018 г. до 6000 чел., будет развиваться  лечебно-оздоровительный, спортивный, событийный, экологический туризм. Число занятых в </w:t>
            </w:r>
            <w:r w:rsidRPr="00610F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туристско-рекреационной сфере достигнет 400 чел. Количество созданных койко-мест в средствах размещения туристов увеличится до 300 ед.</w:t>
            </w:r>
          </w:p>
        </w:tc>
      </w:tr>
      <w:tr w:rsidR="00223199" w:rsidRPr="00610F8D" w:rsidTr="00610F8D">
        <w:trPr>
          <w:trHeight w:val="4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9" w:rsidRPr="00610F8D" w:rsidRDefault="00223199" w:rsidP="0022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9" w:rsidRPr="00610F8D" w:rsidRDefault="00223199" w:rsidP="0061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 молодежной политики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199" w:rsidRPr="00610F8D" w:rsidRDefault="00174AD5" w:rsidP="0022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Мероприятия направлены на создание социально-экономических, организационных, правовых условий и гарантий социального становления и развития молодых граждан, их наиболее полной самореализации в интересах общества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F8D" w:rsidRPr="00610F8D" w:rsidRDefault="00174AD5" w:rsidP="00610F8D">
            <w:pPr>
              <w:spacing w:after="0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610F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 xml:space="preserve">Реализация мероприятий Программы позволит </w:t>
            </w:r>
          </w:p>
          <w:p w:rsidR="00174AD5" w:rsidRPr="00610F8D" w:rsidRDefault="00174AD5" w:rsidP="00610F8D">
            <w:pPr>
              <w:spacing w:after="0"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610F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увеличить долю молодых людей, вовлечённых в волонтёрскую деятельность до 2,1 проц. в общей численности молодежи от 14 до 30 лет;</w:t>
            </w:r>
            <w:r w:rsidR="00610F8D" w:rsidRPr="00610F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610F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увеличить численность молодых  людей, участвующих в реализуемых органами и организациями, действующими в области   молодежной политики,  проектах и  программах поддержки талантливой молодежи,  в   общем числе молодежи   до 70 человек;</w:t>
            </w:r>
            <w:r w:rsidR="00610F8D" w:rsidRPr="00610F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610F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 xml:space="preserve"> увеличить долю детей, подростков и молодежи, оказавшихся в трудной жизненной</w:t>
            </w:r>
            <w:r w:rsidRPr="00610F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cr/>
            </w:r>
            <w:r w:rsidR="00610F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с</w:t>
            </w:r>
            <w:r w:rsidRPr="00610F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итуации</w:t>
            </w:r>
            <w:r w:rsidR="00610F8D" w:rsidRPr="00610F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 xml:space="preserve">, </w:t>
            </w:r>
            <w:r w:rsidRPr="00610F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занимающихся на постоянной основе  в учреждении молодежной  политики и  спорта  по  месту жительства, в  общем числе детей, подростков и молодежи, оказавшихся в трудной жизненной ситуации   до 3,2 проц.;</w:t>
            </w:r>
            <w:r w:rsidR="00610F8D" w:rsidRPr="00610F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610F8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u w:color="000000"/>
              </w:rPr>
              <w:t>увеличить долю детей, подростков и молодежи, вовлеченных в деятельность детских  и молодежных общественных объединений, в общем числе  граждан в возрасте  8  -  30 лет до 20,5 проц.</w:t>
            </w:r>
          </w:p>
          <w:p w:rsidR="00223199" w:rsidRPr="00610F8D" w:rsidRDefault="00223199" w:rsidP="00610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199" w:rsidRPr="00610F8D" w:rsidTr="00AA6EAC">
        <w:trPr>
          <w:trHeight w:val="4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9" w:rsidRPr="00610F8D" w:rsidRDefault="00223199" w:rsidP="0022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199" w:rsidRPr="00610F8D" w:rsidRDefault="00223199" w:rsidP="00223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 физкультуры и 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199" w:rsidRPr="00610F8D" w:rsidRDefault="00610F8D" w:rsidP="00223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 направлены на </w:t>
            </w:r>
            <w:r w:rsidRPr="00610F8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создание условий для укрепления здоровья</w:t>
            </w:r>
            <w:r w:rsidRPr="00610F8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br/>
            </w:r>
            <w:r w:rsidRPr="00610F8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населения путем развития инфраструктуры</w:t>
            </w:r>
            <w:r w:rsidRPr="00610F8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br/>
            </w:r>
            <w:r w:rsidRPr="00610F8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спорта, популяризации массового и</w:t>
            </w:r>
            <w:r w:rsidRPr="00610F8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br/>
            </w:r>
            <w:r w:rsidRPr="00610F8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профессионального спорта (включая спорт</w:t>
            </w:r>
            <w:r w:rsidRPr="00610F8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br/>
            </w:r>
            <w:r w:rsidRPr="00610F8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высших достижений) и приобщения различных</w:t>
            </w:r>
            <w:r w:rsidRPr="00610F8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br/>
            </w:r>
            <w:r w:rsidRPr="00610F8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слоев общества к регулярным занятиям</w:t>
            </w:r>
            <w:r w:rsidRPr="00610F8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br/>
            </w:r>
            <w:r w:rsidRPr="00610F8D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физической культурой и спортом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F8D" w:rsidRPr="00610F8D" w:rsidRDefault="00610F8D" w:rsidP="00610F8D">
            <w:pPr>
              <w:pStyle w:val="formattext"/>
              <w:shd w:val="clear" w:color="auto" w:fill="FFFFFF"/>
              <w:spacing w:before="0" w:beforeAutospacing="0" w:after="0" w:afterAutospacing="0" w:line="291" w:lineRule="atLeast"/>
              <w:jc w:val="both"/>
              <w:textAlignment w:val="baseline"/>
              <w:rPr>
                <w:color w:val="000000" w:themeColor="text1"/>
                <w:spacing w:val="2"/>
                <w:sz w:val="20"/>
                <w:szCs w:val="20"/>
              </w:rPr>
            </w:pPr>
            <w:r>
              <w:rPr>
                <w:color w:val="000000" w:themeColor="text1"/>
                <w:spacing w:val="2"/>
                <w:sz w:val="20"/>
                <w:szCs w:val="20"/>
              </w:rPr>
              <w:t xml:space="preserve">Возрастет доля граждан, </w:t>
            </w:r>
            <w:r w:rsidRPr="00610F8D">
              <w:rPr>
                <w:color w:val="000000" w:themeColor="text1"/>
                <w:spacing w:val="2"/>
                <w:sz w:val="20"/>
                <w:szCs w:val="20"/>
              </w:rPr>
              <w:t>систематически занимающихся физкультурой</w:t>
            </w:r>
            <w:r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610F8D">
              <w:rPr>
                <w:color w:val="000000" w:themeColor="text1"/>
                <w:spacing w:val="2"/>
                <w:sz w:val="20"/>
                <w:szCs w:val="20"/>
              </w:rPr>
              <w:t>и спортом;</w:t>
            </w:r>
            <w:r w:rsidRPr="00610F8D">
              <w:rPr>
                <w:color w:val="000000" w:themeColor="text1"/>
                <w:spacing w:val="2"/>
                <w:sz w:val="20"/>
                <w:szCs w:val="20"/>
              </w:rPr>
              <w:br/>
              <w:t>доля граждан, занимающихся в</w:t>
            </w:r>
            <w:r w:rsidRPr="00610F8D">
              <w:rPr>
                <w:color w:val="000000" w:themeColor="text1"/>
                <w:spacing w:val="2"/>
                <w:sz w:val="20"/>
                <w:szCs w:val="20"/>
              </w:rPr>
              <w:br/>
              <w:t>специализированных спортивных учреждениях;</w:t>
            </w:r>
            <w:r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610F8D">
              <w:rPr>
                <w:color w:val="000000" w:themeColor="text1"/>
                <w:spacing w:val="2"/>
                <w:sz w:val="20"/>
                <w:szCs w:val="20"/>
              </w:rPr>
              <w:t>доля спортсменов</w:t>
            </w:r>
            <w:r>
              <w:rPr>
                <w:color w:val="000000" w:themeColor="text1"/>
                <w:spacing w:val="2"/>
                <w:sz w:val="20"/>
                <w:szCs w:val="20"/>
              </w:rPr>
              <w:t>- победителей в спортивных состязаниях</w:t>
            </w:r>
            <w:r w:rsidRPr="00610F8D">
              <w:rPr>
                <w:color w:val="000000" w:themeColor="text1"/>
                <w:spacing w:val="2"/>
                <w:sz w:val="20"/>
                <w:szCs w:val="20"/>
              </w:rPr>
              <w:t>,</w:t>
            </w:r>
            <w:r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610F8D">
              <w:rPr>
                <w:color w:val="000000" w:themeColor="text1"/>
                <w:spacing w:val="2"/>
                <w:sz w:val="20"/>
                <w:szCs w:val="20"/>
              </w:rPr>
              <w:t>доля граждан, занимающихся в системе спортивных школ на этапах подготовки по зимним</w:t>
            </w:r>
            <w:r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610F8D">
              <w:rPr>
                <w:color w:val="000000" w:themeColor="text1"/>
                <w:spacing w:val="2"/>
                <w:sz w:val="20"/>
                <w:szCs w:val="20"/>
              </w:rPr>
              <w:t>видам спорта; единовременная пропускн</w:t>
            </w:r>
            <w:r>
              <w:rPr>
                <w:color w:val="000000" w:themeColor="text1"/>
                <w:spacing w:val="2"/>
                <w:sz w:val="20"/>
                <w:szCs w:val="20"/>
              </w:rPr>
              <w:t>ая способность объектов спорта</w:t>
            </w:r>
          </w:p>
          <w:p w:rsidR="00223199" w:rsidRPr="00610F8D" w:rsidRDefault="00223199" w:rsidP="0022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3199" w:rsidRPr="00610F8D" w:rsidTr="002D7EC8">
        <w:trPr>
          <w:trHeight w:val="4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9" w:rsidRPr="00610F8D" w:rsidRDefault="00223199" w:rsidP="0022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99" w:rsidRPr="00610F8D" w:rsidRDefault="00223199" w:rsidP="002D7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 системы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199" w:rsidRPr="00610F8D" w:rsidRDefault="00223199" w:rsidP="0022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направлены на улучшение качества образования,  повышение образовательного уровня детей, выявление талантливых детей, содействие в  </w:t>
            </w: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>реализации их способностей, обеспечении  всестороннего развития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3199" w:rsidRPr="00610F8D" w:rsidRDefault="00223199" w:rsidP="002D7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F8D">
              <w:rPr>
                <w:rFonts w:ascii="Times New Roman" w:hAnsi="Times New Roman" w:cs="Times New Roman"/>
                <w:sz w:val="20"/>
                <w:szCs w:val="20"/>
              </w:rPr>
              <w:t xml:space="preserve">Охват всех детей дошкольным и общим образованием </w:t>
            </w:r>
          </w:p>
        </w:tc>
      </w:tr>
    </w:tbl>
    <w:p w:rsidR="00074F04" w:rsidRPr="00610F8D" w:rsidRDefault="00074F04">
      <w:pPr>
        <w:rPr>
          <w:rFonts w:ascii="Times New Roman" w:hAnsi="Times New Roman" w:cs="Times New Roman"/>
          <w:sz w:val="20"/>
          <w:szCs w:val="20"/>
        </w:rPr>
      </w:pPr>
    </w:p>
    <w:p w:rsidR="00074F04" w:rsidRPr="00610F8D" w:rsidRDefault="00074F04" w:rsidP="00074F04">
      <w:pPr>
        <w:rPr>
          <w:rFonts w:ascii="Times New Roman" w:hAnsi="Times New Roman" w:cs="Times New Roman"/>
          <w:sz w:val="20"/>
          <w:szCs w:val="20"/>
        </w:rPr>
      </w:pPr>
    </w:p>
    <w:p w:rsidR="00074F04" w:rsidRPr="00610F8D" w:rsidRDefault="00074F04" w:rsidP="00074F04">
      <w:pPr>
        <w:rPr>
          <w:rFonts w:ascii="Times New Roman" w:hAnsi="Times New Roman" w:cs="Times New Roman"/>
          <w:sz w:val="20"/>
          <w:szCs w:val="20"/>
        </w:rPr>
      </w:pPr>
    </w:p>
    <w:p w:rsidR="00074F04" w:rsidRPr="00610F8D" w:rsidRDefault="00074F04" w:rsidP="00074F04">
      <w:pPr>
        <w:rPr>
          <w:rFonts w:ascii="Times New Roman" w:hAnsi="Times New Roman" w:cs="Times New Roman"/>
          <w:sz w:val="20"/>
          <w:szCs w:val="20"/>
        </w:rPr>
      </w:pPr>
    </w:p>
    <w:p w:rsidR="006402F3" w:rsidRPr="00610F8D" w:rsidRDefault="006402F3" w:rsidP="00074F04">
      <w:pPr>
        <w:tabs>
          <w:tab w:val="left" w:pos="6300"/>
        </w:tabs>
        <w:rPr>
          <w:rFonts w:ascii="Times New Roman" w:hAnsi="Times New Roman" w:cs="Times New Roman"/>
          <w:sz w:val="20"/>
          <w:szCs w:val="20"/>
        </w:rPr>
      </w:pPr>
    </w:p>
    <w:sectPr w:rsidR="006402F3" w:rsidRPr="00610F8D" w:rsidSect="0019755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1A9" w:rsidRDefault="00D331A9">
      <w:pPr>
        <w:spacing w:after="0" w:line="240" w:lineRule="auto"/>
      </w:pPr>
      <w:r>
        <w:separator/>
      </w:r>
    </w:p>
  </w:endnote>
  <w:endnote w:type="continuationSeparator" w:id="1">
    <w:p w:rsidR="00D331A9" w:rsidRDefault="00D3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1A9" w:rsidRDefault="00D331A9">
      <w:pPr>
        <w:spacing w:after="0" w:line="240" w:lineRule="auto"/>
      </w:pPr>
      <w:r>
        <w:separator/>
      </w:r>
    </w:p>
  </w:footnote>
  <w:footnote w:type="continuationSeparator" w:id="1">
    <w:p w:rsidR="00D331A9" w:rsidRDefault="00D3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7B" w:rsidRDefault="00D331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843"/>
    <w:rsid w:val="00074F04"/>
    <w:rsid w:val="00076537"/>
    <w:rsid w:val="000D2366"/>
    <w:rsid w:val="0012730D"/>
    <w:rsid w:val="00145D9A"/>
    <w:rsid w:val="00174AD5"/>
    <w:rsid w:val="00203A9F"/>
    <w:rsid w:val="00217D21"/>
    <w:rsid w:val="00223199"/>
    <w:rsid w:val="0023388B"/>
    <w:rsid w:val="00246B51"/>
    <w:rsid w:val="00253064"/>
    <w:rsid w:val="00282F6E"/>
    <w:rsid w:val="002D7EC8"/>
    <w:rsid w:val="002F409B"/>
    <w:rsid w:val="003525A6"/>
    <w:rsid w:val="003570B7"/>
    <w:rsid w:val="00451E4F"/>
    <w:rsid w:val="004624FC"/>
    <w:rsid w:val="00497B24"/>
    <w:rsid w:val="004A381B"/>
    <w:rsid w:val="004E333B"/>
    <w:rsid w:val="00517C2E"/>
    <w:rsid w:val="005A5143"/>
    <w:rsid w:val="00610F8D"/>
    <w:rsid w:val="00612B83"/>
    <w:rsid w:val="006402F3"/>
    <w:rsid w:val="00647990"/>
    <w:rsid w:val="00666F81"/>
    <w:rsid w:val="006850B5"/>
    <w:rsid w:val="0072625C"/>
    <w:rsid w:val="00737616"/>
    <w:rsid w:val="007A64B9"/>
    <w:rsid w:val="00801FC0"/>
    <w:rsid w:val="008021BF"/>
    <w:rsid w:val="00834A03"/>
    <w:rsid w:val="008372A7"/>
    <w:rsid w:val="00840BF1"/>
    <w:rsid w:val="0085702E"/>
    <w:rsid w:val="009B3C57"/>
    <w:rsid w:val="009C5226"/>
    <w:rsid w:val="009D6F69"/>
    <w:rsid w:val="00A01F40"/>
    <w:rsid w:val="00A97816"/>
    <w:rsid w:val="00AA2C36"/>
    <w:rsid w:val="00AA6EAC"/>
    <w:rsid w:val="00B5029B"/>
    <w:rsid w:val="00C02210"/>
    <w:rsid w:val="00C50653"/>
    <w:rsid w:val="00D331A9"/>
    <w:rsid w:val="00D800E8"/>
    <w:rsid w:val="00D91843"/>
    <w:rsid w:val="00DD6024"/>
    <w:rsid w:val="00E75E0D"/>
    <w:rsid w:val="00E863CE"/>
    <w:rsid w:val="00F718B7"/>
    <w:rsid w:val="00FB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653"/>
    <w:rPr>
      <w:rFonts w:eastAsiaTheme="minorEastAsia"/>
      <w:lang w:eastAsia="ru-RU"/>
    </w:rPr>
  </w:style>
  <w:style w:type="paragraph" w:styleId="a5">
    <w:name w:val="No Spacing"/>
    <w:uiPriority w:val="1"/>
    <w:qFormat/>
    <w:rsid w:val="00840BF1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61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6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65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Эфендиева Мелина Вечяславовна</dc:creator>
  <cp:lastModifiedBy>Мадина Алисултанова</cp:lastModifiedBy>
  <cp:revision>8</cp:revision>
  <cp:lastPrinted>2015-11-23T14:07:00Z</cp:lastPrinted>
  <dcterms:created xsi:type="dcterms:W3CDTF">2015-11-24T08:26:00Z</dcterms:created>
  <dcterms:modified xsi:type="dcterms:W3CDTF">2015-12-14T11:05:00Z</dcterms:modified>
</cp:coreProperties>
</file>