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94EDE">
        <w:rPr>
          <w:rFonts w:ascii="Times New Roman" w:hAnsi="Times New Roman" w:cs="Times New Roman"/>
          <w:b/>
          <w:sz w:val="28"/>
          <w:szCs w:val="28"/>
        </w:rPr>
        <w:t xml:space="preserve">от 31.12.2015 г. №174 «О создании комиссии по проведению аукционов по продаже земельных участков и аукционов на право заключения договоров аренды земельных участков»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  <w:proofErr w:type="gramEnd"/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Сроки приема предложений: с 21 марта по 28 марта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394EDE" w:rsidP="00DE02CF">
      <w:pPr>
        <w:spacing w:after="0"/>
        <w:jc w:val="both"/>
        <w:rPr>
          <w:rFonts w:ascii="Times New Roman" w:hAnsi="Times New Roman" w:cs="Times New Roman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1D2F91"/>
    <w:rsid w:val="00394EDE"/>
    <w:rsid w:val="00592E9C"/>
    <w:rsid w:val="007F5721"/>
    <w:rsid w:val="00DE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2017-03-20T13:02:00Z</cp:lastPrinted>
  <dcterms:created xsi:type="dcterms:W3CDTF">2017-03-20T11:12:00Z</dcterms:created>
  <dcterms:modified xsi:type="dcterms:W3CDTF">2017-03-20T13:02:00Z</dcterms:modified>
</cp:coreProperties>
</file>